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color w:val="172033"/>
          <w:sz w:val="32"/>
        </w:rPr>
        <w:t>HỢP ĐỒNG THUÊ PHÒNG TRỌ</w:t>
      </w:r>
    </w:p>
    <w:p>
      <w:pPr>
        <w:spacing w:after="200"/>
        <w:jc w:val="center"/>
      </w:pPr>
      <w:r>
        <w:rPr>
          <w:rFonts w:ascii="Calibri" w:hAnsi="Calibri"/>
          <w:i/>
          <w:color w:val="586174"/>
          <w:sz w:val="19"/>
        </w:rPr>
        <w:t>Mẫu tham khảo để các bên thống nhất rõ việc thuê, thu tiền, bàn giao và trả phòng.</w:t>
      </w:r>
    </w:p>
    <w:tbl>
      <w:tblPr>
        <w:tblW w:type="dxa" w:w="9360"/>
        <w:jc w:val="left"/>
        <w:tblLayout w:type="fixed"/>
        <w:tblLook w:firstColumn="1" w:firstRow="1" w:lastColumn="0" w:lastRow="0" w:noHBand="0" w:noVBand="1" w:val="04A0"/>
        <w:tblInd w:type="dxa" w:w="120"/>
      </w:tblPr>
      <w:tblGrid>
        <w:gridCol w:w="9360"/>
      </w:tblGrid>
      <w:tr>
        <w:trPr/>
        <w:tc>
          <w:tcPr>
            <w:tcW w:type="dxa" w:w="9360"/>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shd w:fill="E8F3F0"/>
          </w:tcPr>
          <w:p>
            <w:pPr>
              <w:spacing w:after="60"/>
            </w:pPr>
            <w:r>
              <w:rPr>
                <w:rFonts w:ascii="Calibri" w:hAnsi="Calibri"/>
                <w:b/>
                <w:color w:val="008B72"/>
                <w:sz w:val="19"/>
              </w:rPr>
              <w:t>LƯU Ý QUAN TRỌNG: Đây là mẫu tham khảo chung, không phải tư vấn pháp lý. Không ký khi còn nội dung để trống hoặc chưa hiểu rõ. Các bên cần tự rà soát quy định hiện hành, nội quy cơ sở, giấy tờ và tình huống thực tế; nên nhờ người có chuyên môn pháp lý kiểm tra nếu giao dịch có yếu tố đặc thù.</w:t>
            </w:r>
          </w:p>
        </w:tc>
      </w:tr>
    </w:tbl>
    <w:p>
      <w:pPr>
        <w:spacing w:after="20"/>
      </w:pPr>
    </w:p>
    <w:tbl>
      <w:tblPr>
        <w:tblW w:type="dxa" w:w="9360"/>
        <w:jc w:val="left"/>
        <w:tblLayout w:type="fixed"/>
        <w:tblLook w:firstColumn="1" w:firstRow="1" w:lastColumn="0" w:lastRow="0" w:noHBand="0" w:noVBand="1" w:val="04A0"/>
        <w:tblInd w:type="dxa" w:w="120"/>
      </w:tblPr>
      <w:tblGrid>
        <w:gridCol w:w="4608"/>
        <w:gridCol w:w="4752"/>
      </w:tblGrid>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Số hợp đồng</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HD-............................</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Ngày lập</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 / … / 20…</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Phòng / mã phòng</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Địa chỉ nhà trọ</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bl>
    <w:p>
      <w:pPr>
        <w:spacing w:after="0"/>
      </w:pPr>
    </w:p>
    <w:p>
      <w:pPr>
        <w:spacing w:before="160" w:after="60"/>
      </w:pPr>
      <w:r>
        <w:rPr>
          <w:rFonts w:ascii="Calibri" w:hAnsi="Calibri"/>
          <w:b/>
          <w:color w:val="008B72"/>
          <w:sz w:val="24"/>
        </w:rPr>
        <w:t>I. Thông tin các bên</w:t>
      </w:r>
    </w:p>
    <w:tbl>
      <w:tblPr>
        <w:tblW w:type="dxa" w:w="9360"/>
        <w:jc w:val="left"/>
        <w:tblLayout w:type="fixed"/>
        <w:tblLook w:firstColumn="1" w:firstRow="1" w:lastColumn="0" w:lastRow="0" w:noHBand="0" w:noVBand="1" w:val="04A0"/>
        <w:tblInd w:type="dxa" w:w="120"/>
      </w:tblPr>
      <w:tblGrid>
        <w:gridCol w:w="4608"/>
        <w:gridCol w:w="4752"/>
      </w:tblGrid>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BÊN CHO THUÊ (Bên A)</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Họ tên / tên tổ chức: ....................................</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CCCD / mã số / ngày cấp</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Địa chỉ liên hệ / SĐT</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BÊN THUÊ (Bên B)</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Họ tên: ................................................</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CCCD / ngày cấp / nơi cấp</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SĐT / email liên hệ</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Người ở cùng (nếu có)</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Họ tên, giấy tờ, SĐT: ...................................</w:t>
            </w:r>
          </w:p>
        </w:tc>
      </w:tr>
    </w:tbl>
    <w:p>
      <w:pPr>
        <w:spacing w:after="0"/>
      </w:pPr>
    </w:p>
    <w:p>
      <w:pPr>
        <w:spacing w:before="160" w:after="60"/>
      </w:pPr>
      <w:r>
        <w:rPr>
          <w:rFonts w:ascii="Calibri" w:hAnsi="Calibri"/>
          <w:b/>
          <w:color w:val="008B72"/>
          <w:sz w:val="24"/>
        </w:rPr>
        <w:t>ĐIỀU 1. Phòng thuê và mục đích sử dụng</w:t>
      </w:r>
    </w:p>
    <w:p>
      <w:pPr>
        <w:spacing w:after="60"/>
      </w:pPr>
      <w:r>
        <w:rPr>
          <w:rFonts w:ascii="Calibri" w:hAnsi="Calibri"/>
          <w:b w:val="0"/>
          <w:color w:val="172033"/>
          <w:sz w:val="20"/>
        </w:rPr>
        <w:t>1.1. Bên A cho Bên B thuê phòng số ............ tại địa chỉ ...................................................................................................; diện tích/đặc điểm: ........................................................................................... .</w:t>
      </w:r>
    </w:p>
    <w:p>
      <w:pPr>
        <w:spacing w:after="60"/>
      </w:pPr>
      <w:r>
        <w:rPr>
          <w:rFonts w:ascii="Calibri" w:hAnsi="Calibri"/>
          <w:b w:val="0"/>
          <w:color w:val="172033"/>
          <w:sz w:val="20"/>
        </w:rPr>
        <w:t>1.2. Phòng được dùng để ở cho số người đã khai báo ở trên. Việc thay đổi số người ở, cho ở nhờ, cho thuê lại hoặc dùng sai mục đích chỉ thực hiện khi có sự đồng ý của Bên A và phù hợp quy định áp dụng.</w:t>
      </w:r>
    </w:p>
    <w:p>
      <w:pPr>
        <w:spacing w:after="60"/>
      </w:pPr>
      <w:r>
        <w:rPr>
          <w:rFonts w:ascii="Calibri" w:hAnsi="Calibri"/>
          <w:b w:val="0"/>
          <w:color w:val="172033"/>
          <w:sz w:val="20"/>
        </w:rPr>
        <w:t>1.3. Danh mục tài sản, chỉ số điện nước và hiện trạng khi nhận phòng được ghi tại Biên bản bàn giao kèm hợp đồng; biên bản là một phần của hợp đồng này.</w:t>
      </w:r>
    </w:p>
    <w:p>
      <w:pPr>
        <w:spacing w:before="160" w:after="60"/>
      </w:pPr>
      <w:r>
        <w:rPr>
          <w:rFonts w:ascii="Calibri" w:hAnsi="Calibri"/>
          <w:b/>
          <w:color w:val="008B72"/>
          <w:sz w:val="24"/>
        </w:rPr>
        <w:t>ĐIỀU 2. Thời hạn thuê</w:t>
      </w:r>
    </w:p>
    <w:p>
      <w:pPr>
        <w:spacing w:after="60"/>
      </w:pPr>
      <w:r>
        <w:rPr>
          <w:rFonts w:ascii="Calibri" w:hAnsi="Calibri"/>
          <w:b w:val="0"/>
          <w:color w:val="172033"/>
          <w:sz w:val="20"/>
        </w:rPr>
        <w:t>2.1. Thời hạn thuê từ ngày … / … / 20… đến hết ngày … / … / 20… .</w:t>
      </w:r>
    </w:p>
    <w:p>
      <w:pPr>
        <w:spacing w:after="60"/>
      </w:pPr>
      <w:r>
        <w:rPr>
          <w:rFonts w:ascii="Calibri" w:hAnsi="Calibri"/>
          <w:b w:val="0"/>
          <w:color w:val="172033"/>
          <w:sz w:val="20"/>
        </w:rPr>
        <w:t>2.2. Nếu muốn gia hạn hoặc thay đổi các điều khoản chính, hai bên cần thống nhất bằng văn bản/phụ lục trước khi hết hạn.</w:t>
      </w:r>
    </w:p>
    <w:p>
      <w:pPr>
        <w:spacing w:before="160" w:after="60"/>
      </w:pPr>
      <w:r>
        <w:rPr>
          <w:rFonts w:ascii="Calibri" w:hAnsi="Calibri"/>
          <w:b/>
          <w:color w:val="008B72"/>
          <w:sz w:val="24"/>
        </w:rPr>
        <w:t>ĐIỀU 3. Giá thuê, chi phí và phương thức thanh toán</w:t>
      </w:r>
    </w:p>
    <w:p>
      <w:pPr>
        <w:spacing w:after="60"/>
      </w:pPr>
      <w:r>
        <w:rPr>
          <w:rFonts w:ascii="Calibri" w:hAnsi="Calibri"/>
          <w:b w:val="0"/>
          <w:color w:val="172033"/>
          <w:sz w:val="20"/>
        </w:rPr>
        <w:t>3.1. Giá thuê: ................................ đồng/tháng (bằng chữ: ........................................................................................................). Giá thuê này [đã/chưa] bao gồm: ........................................................................................................................... .</w:t>
      </w:r>
    </w:p>
    <w:p>
      <w:pPr>
        <w:spacing w:after="60"/>
      </w:pPr>
      <w:r>
        <w:rPr>
          <w:rFonts w:ascii="Calibri" w:hAnsi="Calibri"/>
          <w:b w:val="0"/>
          <w:color w:val="172033"/>
          <w:sz w:val="20"/>
        </w:rPr>
        <w:t>3.2. Hạn thanh toán: ngày ........ hằng tháng. Bên B thanh toán bằng [tiền mặt/chuyển khoản] vào ......................................................................................................................... .</w:t>
      </w:r>
    </w:p>
    <w:p>
      <w:pPr>
        <w:spacing w:after="60"/>
      </w:pPr>
      <w:r>
        <w:rPr>
          <w:rFonts w:ascii="Calibri" w:hAnsi="Calibri"/>
          <w:b w:val="0"/>
          <w:color w:val="172033"/>
          <w:sz w:val="20"/>
        </w:rPr>
        <w:t>3.3. Các chi phí điện, nước, dịch vụ và cách chốt chỉ số được ghi rõ trong bảng dưới đây. Mọi thay đổi về đơn giá/cách tính cần được thông báo và thống nhất theo thỏa thuận của hai bên.</w:t>
      </w:r>
    </w:p>
    <w:tbl>
      <w:tblPr>
        <w:tblW w:type="dxa" w:w="9360"/>
        <w:jc w:val="left"/>
        <w:tblLayout w:type="fixed"/>
        <w:tblLook w:firstColumn="1" w:firstRow="1" w:lastColumn="0" w:lastRow="0" w:noHBand="0" w:noVBand="1" w:val="04A0"/>
        <w:tblInd w:type="dxa" w:w="120"/>
      </w:tblPr>
      <w:tblGrid>
        <w:gridCol w:w="2952"/>
        <w:gridCol w:w="3384"/>
        <w:gridCol w:w="3024"/>
      </w:tblGrid>
      <w:tr>
        <w:trPr/>
        <w:tc>
          <w:tcPr>
            <w:tcW w:type="dxa" w:w="29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shd w:fill="008B72"/>
          </w:tcPr>
          <w:p>
            <w:pPr>
              <w:spacing w:after="60"/>
            </w:pPr>
            <w:r>
              <w:rPr>
                <w:rFonts w:ascii="Calibri" w:hAnsi="Calibri"/>
                <w:b/>
                <w:color w:val="FFFFFF"/>
                <w:sz w:val="19"/>
              </w:rPr>
              <w:t>Khoản thu</w:t>
            </w:r>
          </w:p>
        </w:tc>
        <w:tc>
          <w:tcPr>
            <w:tcW w:type="dxa" w:w="338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shd w:fill="008B72"/>
          </w:tcPr>
          <w:p>
            <w:pPr>
              <w:spacing w:after="60"/>
            </w:pPr>
            <w:r>
              <w:rPr>
                <w:rFonts w:ascii="Calibri" w:hAnsi="Calibri"/>
                <w:b/>
                <w:color w:val="FFFFFF"/>
                <w:sz w:val="19"/>
              </w:rPr>
              <w:t>Mức giá / cách tính</w:t>
            </w:r>
          </w:p>
        </w:tc>
        <w:tc>
          <w:tcPr>
            <w:tcW w:type="dxa" w:w="302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shd w:fill="008B72"/>
          </w:tcPr>
          <w:p>
            <w:pPr>
              <w:spacing w:after="60"/>
            </w:pPr>
            <w:r>
              <w:rPr>
                <w:rFonts w:ascii="Calibri" w:hAnsi="Calibri"/>
                <w:b/>
                <w:color w:val="FFFFFF"/>
                <w:sz w:val="19"/>
              </w:rPr>
              <w:t>Ngày chốt / ghi chú</w:t>
            </w:r>
          </w:p>
        </w:tc>
      </w:tr>
      <w:tr>
        <w:trPr/>
        <w:tc>
          <w:tcPr>
            <w:tcW w:type="dxa" w:w="29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19"/>
              </w:rPr>
              <w:t>Điện</w:t>
            </w:r>
          </w:p>
        </w:tc>
        <w:tc>
          <w:tcPr>
            <w:tcW w:type="dxa" w:w="338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c>
          <w:tcPr>
            <w:tcW w:type="dxa" w:w="302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r>
      <w:tr>
        <w:trPr/>
        <w:tc>
          <w:tcPr>
            <w:tcW w:type="dxa" w:w="29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19"/>
              </w:rPr>
              <w:t>Nước</w:t>
            </w:r>
          </w:p>
        </w:tc>
        <w:tc>
          <w:tcPr>
            <w:tcW w:type="dxa" w:w="338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c>
          <w:tcPr>
            <w:tcW w:type="dxa" w:w="302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r>
      <w:tr>
        <w:trPr/>
        <w:tc>
          <w:tcPr>
            <w:tcW w:type="dxa" w:w="29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19"/>
              </w:rPr>
              <w:t>Phí dịch vụ khác</w:t>
            </w:r>
          </w:p>
        </w:tc>
        <w:tc>
          <w:tcPr>
            <w:tcW w:type="dxa" w:w="338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c>
          <w:tcPr>
            <w:tcW w:type="dxa" w:w="302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r>
      <w:tr>
        <w:trPr/>
        <w:tc>
          <w:tcPr>
            <w:tcW w:type="dxa" w:w="29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19"/>
              </w:rPr>
              <w:t>Khoản khác (nếu có)</w:t>
            </w:r>
          </w:p>
        </w:tc>
        <w:tc>
          <w:tcPr>
            <w:tcW w:type="dxa" w:w="338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c>
          <w:tcPr>
            <w:tcW w:type="dxa" w:w="3024"/>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19"/>
              </w:rPr>
              <w:t>................................</w:t>
            </w:r>
          </w:p>
        </w:tc>
      </w:tr>
    </w:tbl>
    <w:p>
      <w:pPr>
        <w:spacing w:before="160" w:after="60"/>
      </w:pPr>
      <w:r>
        <w:rPr>
          <w:rFonts w:ascii="Calibri" w:hAnsi="Calibri"/>
          <w:b/>
          <w:color w:val="008B72"/>
          <w:sz w:val="24"/>
        </w:rPr>
        <w:t>ĐIỀU 4. Tiền đặt cọc</w:t>
      </w:r>
    </w:p>
    <w:p>
      <w:pPr>
        <w:spacing w:after="60"/>
      </w:pPr>
      <w:r>
        <w:rPr>
          <w:rFonts w:ascii="Calibri" w:hAnsi="Calibri"/>
          <w:b w:val="0"/>
          <w:color w:val="172033"/>
          <w:sz w:val="20"/>
        </w:rPr>
        <w:t>4.1. Bên B đặt cọc số tiền: ................................ đồng (bằng chữ: ........................................................................................................) vào ngày … / … / 20… .</w:t>
      </w:r>
    </w:p>
    <w:p>
      <w:pPr>
        <w:spacing w:after="60"/>
      </w:pPr>
      <w:r>
        <w:rPr>
          <w:rFonts w:ascii="Calibri" w:hAnsi="Calibri"/>
          <w:b w:val="0"/>
          <w:color w:val="172033"/>
          <w:sz w:val="20"/>
        </w:rPr>
        <w:t>4.2. Khi trả phòng, hai bên cùng đối chiếu tiền thuê, chi phí phát sinh, chỉ số điện nước, tài sản và hiện trạng để xử lý tiền cọc theo thỏa thuận này và quy định áp dụng.</w:t>
      </w:r>
    </w:p>
    <w:p>
      <w:pPr>
        <w:spacing w:after="60"/>
      </w:pPr>
      <w:r>
        <w:rPr>
          <w:rFonts w:ascii="Calibri" w:hAnsi="Calibri"/>
          <w:b w:val="0"/>
          <w:color w:val="172033"/>
          <w:sz w:val="20"/>
        </w:rPr>
        <w:t>4.3. Điều kiện/chi phí được khấu trừ (nếu có) cần ghi cụ thể: .............................................................................................................................................................................. .</w:t>
      </w:r>
    </w:p>
    <w:p>
      <w:pPr>
        <w:spacing w:before="160" w:after="60"/>
      </w:pPr>
      <w:r>
        <w:rPr>
          <w:rFonts w:ascii="Calibri" w:hAnsi="Calibri"/>
          <w:b/>
          <w:color w:val="008B72"/>
          <w:sz w:val="24"/>
        </w:rPr>
        <w:t>ĐIỀU 5. Bàn giao phòng và tài sản</w:t>
      </w:r>
    </w:p>
    <w:p>
      <w:pPr>
        <w:spacing w:after="60"/>
      </w:pPr>
      <w:r>
        <w:rPr>
          <w:rFonts w:ascii="Calibri" w:hAnsi="Calibri"/>
          <w:b w:val="0"/>
          <w:color w:val="172033"/>
          <w:sz w:val="20"/>
        </w:rPr>
        <w:t>5.1. Bên A bàn giao phòng, chìa khóa, thiết bị, chỉ số điện nước và hiện trạng vào ngày … / … / 20… .</w:t>
      </w:r>
    </w:p>
    <w:p>
      <w:pPr>
        <w:spacing w:after="60"/>
      </w:pPr>
      <w:r>
        <w:rPr>
          <w:rFonts w:ascii="Calibri" w:hAnsi="Calibri"/>
          <w:b w:val="0"/>
          <w:color w:val="172033"/>
          <w:sz w:val="20"/>
        </w:rPr>
        <w:t>5.2. Hai bên lập Biên bản bàn giao, có thể kèm ảnh hiện trạng. Bên B kiểm tra và phản hồi các hạng mục chưa đúng ngay khi nhận phòng để cùng ghi nhận.</w:t>
      </w:r>
    </w:p>
    <w:p>
      <w:pPr>
        <w:spacing w:after="60"/>
      </w:pPr>
      <w:r>
        <w:rPr>
          <w:rFonts w:ascii="Calibri" w:hAnsi="Calibri"/>
          <w:b w:val="0"/>
          <w:color w:val="172033"/>
          <w:sz w:val="20"/>
        </w:rPr>
        <w:t>5.3. Bên B có trách nhiệm giữ gìn tài sản đã nhận; hư hỏng do sử dụng không đúng hoặc lỗi do Bên B gây ra được xử lý theo thỏa thuận và mức thiệt hại thực tế.</w:t>
      </w:r>
    </w:p>
    <w:p>
      <w:r>
        <w:br w:type="page"/>
      </w:r>
    </w:p>
    <w:p>
      <w:pPr>
        <w:spacing w:before="160" w:after="60"/>
      </w:pPr>
      <w:r>
        <w:rPr>
          <w:rFonts w:ascii="Calibri" w:hAnsi="Calibri"/>
          <w:b/>
          <w:color w:val="008B72"/>
          <w:sz w:val="24"/>
        </w:rPr>
        <w:t>ĐIỀU 6. Quyền và nghĩa vụ của Bên A</w:t>
      </w:r>
    </w:p>
    <w:p>
      <w:pPr>
        <w:spacing w:after="60"/>
      </w:pPr>
      <w:r>
        <w:rPr>
          <w:rFonts w:ascii="Calibri" w:hAnsi="Calibri"/>
          <w:b w:val="0"/>
          <w:color w:val="172033"/>
          <w:sz w:val="20"/>
        </w:rPr>
        <w:t>6.1. Bàn giao phòng theo thỏa thuận, cung cấp thông tin cần thiết về cách thu tiền và đầu mối liên hệ khi có sự cố.</w:t>
      </w:r>
    </w:p>
    <w:p>
      <w:pPr>
        <w:spacing w:after="60"/>
      </w:pPr>
      <w:r>
        <w:rPr>
          <w:rFonts w:ascii="Calibri" w:hAnsi="Calibri"/>
          <w:b w:val="0"/>
          <w:color w:val="172033"/>
          <w:sz w:val="20"/>
        </w:rPr>
        <w:t>6.2. Tôn trọng việc sử dụng hợp pháp, riêng tư của Bên B; việc kiểm tra/sửa chữa phòng cần báo trước và sắp xếp thời điểm phù hợp, trừ tình huống khẩn cấp để ngăn ngừa thiệt hại hoặc bảo đảm an toàn.</w:t>
      </w:r>
    </w:p>
    <w:p>
      <w:pPr>
        <w:spacing w:after="60"/>
      </w:pPr>
      <w:r>
        <w:rPr>
          <w:rFonts w:ascii="Calibri" w:hAnsi="Calibri"/>
          <w:b w:val="0"/>
          <w:color w:val="172033"/>
          <w:sz w:val="20"/>
        </w:rPr>
        <w:t>6.3. Thông báo rõ các khoản thu, kỳ thu và thay đổi liên quan đến việc thuê theo thỏa thuận; ghi nhận thanh toán kịp thời.</w:t>
      </w:r>
    </w:p>
    <w:p>
      <w:pPr>
        <w:spacing w:after="60"/>
      </w:pPr>
      <w:r>
        <w:rPr>
          <w:rFonts w:ascii="Calibri" w:hAnsi="Calibri"/>
          <w:b w:val="0"/>
          <w:color w:val="172033"/>
          <w:sz w:val="20"/>
        </w:rPr>
        <w:t>6.4. Thực hiện các nghĩa vụ khác đã thống nhất: ................................................................................................................................................................................ .</w:t>
      </w:r>
    </w:p>
    <w:p>
      <w:pPr>
        <w:spacing w:before="160" w:after="60"/>
      </w:pPr>
      <w:r>
        <w:rPr>
          <w:rFonts w:ascii="Calibri" w:hAnsi="Calibri"/>
          <w:b/>
          <w:color w:val="008B72"/>
          <w:sz w:val="24"/>
        </w:rPr>
        <w:t>ĐIỀU 7. Quyền và nghĩa vụ của Bên B</w:t>
      </w:r>
    </w:p>
    <w:p>
      <w:pPr>
        <w:spacing w:after="60"/>
      </w:pPr>
      <w:r>
        <w:rPr>
          <w:rFonts w:ascii="Calibri" w:hAnsi="Calibri"/>
          <w:b w:val="0"/>
          <w:color w:val="172033"/>
          <w:sz w:val="20"/>
        </w:rPr>
        <w:t>7.1. Thanh toán đầy đủ, đúng hạn các khoản theo Điều 3 và phối hợp đối chiếu khi có chênh lệch số liệu.</w:t>
      </w:r>
    </w:p>
    <w:p>
      <w:pPr>
        <w:spacing w:after="60"/>
      </w:pPr>
      <w:r>
        <w:rPr>
          <w:rFonts w:ascii="Calibri" w:hAnsi="Calibri"/>
          <w:b w:val="0"/>
          <w:color w:val="172033"/>
          <w:sz w:val="20"/>
        </w:rPr>
        <w:t>7.2. Sử dụng phòng đúng mục đích; tuân thủ nội quy cơ sở, quy định về an toàn, phòng cháy chữa cháy, vệ sinh và trật tự; không thực hiện hành vi bị cấm.</w:t>
      </w:r>
    </w:p>
    <w:p>
      <w:pPr>
        <w:spacing w:after="60"/>
      </w:pPr>
      <w:r>
        <w:rPr>
          <w:rFonts w:ascii="Calibri" w:hAnsi="Calibri"/>
          <w:b w:val="0"/>
          <w:color w:val="172033"/>
          <w:sz w:val="20"/>
        </w:rPr>
        <w:t>7.3. Thông báo sớm cho Bên A khi có hư hỏng, rò rỉ, sự cố điện nước hoặc nguy cơ mất an toàn để hạn chế thiệt hại.</w:t>
      </w:r>
    </w:p>
    <w:p>
      <w:pPr>
        <w:spacing w:after="60"/>
      </w:pPr>
      <w:r>
        <w:rPr>
          <w:rFonts w:ascii="Calibri" w:hAnsi="Calibri"/>
          <w:b w:val="0"/>
          <w:color w:val="172033"/>
          <w:sz w:val="20"/>
        </w:rPr>
        <w:t>7.4. Không tự ý sửa chữa, cải tạo, lắp đặt hoặc di dời thiết bị gắn với phòng nếu chưa có thỏa thuận với Bên A.</w:t>
      </w:r>
    </w:p>
    <w:p>
      <w:pPr>
        <w:spacing w:after="60"/>
      </w:pPr>
      <w:r>
        <w:rPr>
          <w:rFonts w:ascii="Calibri" w:hAnsi="Calibri"/>
          <w:b w:val="0"/>
          <w:color w:val="172033"/>
          <w:sz w:val="20"/>
        </w:rPr>
        <w:t>7.5. Thực hiện các nghĩa vụ khác đã thống nhất: ................................................................................................................................................................................ .</w:t>
      </w:r>
    </w:p>
    <w:p>
      <w:pPr>
        <w:spacing w:before="160" w:after="60"/>
      </w:pPr>
      <w:r>
        <w:rPr>
          <w:rFonts w:ascii="Calibri" w:hAnsi="Calibri"/>
          <w:b/>
          <w:color w:val="008B72"/>
          <w:sz w:val="24"/>
        </w:rPr>
        <w:t>ĐIỀU 8. Sửa chữa, bảo trì và thông báo</w:t>
      </w:r>
    </w:p>
    <w:p>
      <w:pPr>
        <w:spacing w:after="60"/>
      </w:pPr>
      <w:r>
        <w:rPr>
          <w:rFonts w:ascii="Calibri" w:hAnsi="Calibri"/>
          <w:b w:val="0"/>
          <w:color w:val="172033"/>
          <w:sz w:val="20"/>
        </w:rPr>
        <w:t>8.1. Khi có hư hỏng, Bên B thông báo qua [điện thoại/Zalo/email] .................................................., kèm hình ảnh nếu cần. Bên A phản hồi dự kiến xử lý trong thời gian phù hợp với mức độ sự cố.</w:t>
      </w:r>
    </w:p>
    <w:p>
      <w:pPr>
        <w:spacing w:after="60"/>
      </w:pPr>
      <w:r>
        <w:rPr>
          <w:rFonts w:ascii="Calibri" w:hAnsi="Calibri"/>
          <w:b w:val="0"/>
          <w:color w:val="172033"/>
          <w:sz w:val="20"/>
        </w:rPr>
        <w:t>8.2. Chi phí sửa chữa được xác định theo nguyên nhân hư hỏng và thỏa thuận của hai bên. Nội dung thống nhất nên được lưu bằng tin nhắn hoặc văn bản để dễ đối chiếu.</w:t>
      </w:r>
    </w:p>
    <w:p>
      <w:pPr>
        <w:spacing w:after="60"/>
      </w:pPr>
      <w:r>
        <w:rPr>
          <w:rFonts w:ascii="Calibri" w:hAnsi="Calibri"/>
          <w:b w:val="0"/>
          <w:color w:val="172033"/>
          <w:sz w:val="20"/>
        </w:rPr>
        <w:t>8.3. Thông báo thông thường giữa hai bên được gửi qua: .............................................................................................................................................................................. .</w:t>
      </w:r>
    </w:p>
    <w:p>
      <w:pPr>
        <w:spacing w:before="160" w:after="60"/>
      </w:pPr>
      <w:r>
        <w:rPr>
          <w:rFonts w:ascii="Calibri" w:hAnsi="Calibri"/>
          <w:b/>
          <w:color w:val="008B72"/>
          <w:sz w:val="24"/>
        </w:rPr>
        <w:t>ĐIỀU 9. Chấm dứt hợp đồng trước hạn và trả phòng</w:t>
      </w:r>
    </w:p>
    <w:p>
      <w:pPr>
        <w:spacing w:after="60"/>
      </w:pPr>
      <w:r>
        <w:rPr>
          <w:rFonts w:ascii="Calibri" w:hAnsi="Calibri"/>
          <w:b w:val="0"/>
          <w:color w:val="172033"/>
          <w:sz w:val="20"/>
        </w:rPr>
        <w:t>9.1. Bên muốn chấm dứt trước hạn cần thông báo cho bên còn lại trước ........ ngày, trừ trường hợp hai bên có thỏa thuận khác hoặc pháp luật có quy định khác áp dụng.</w:t>
      </w:r>
    </w:p>
    <w:p>
      <w:pPr>
        <w:spacing w:after="60"/>
      </w:pPr>
      <w:r>
        <w:rPr>
          <w:rFonts w:ascii="Calibri" w:hAnsi="Calibri"/>
          <w:b w:val="0"/>
          <w:color w:val="172033"/>
          <w:sz w:val="20"/>
        </w:rPr>
        <w:t>9.2. Khi trả phòng, Bên B dọn đồ cá nhân, hoàn trả chìa khóa/tài sản, cùng Bên A chốt chỉ số và ký Biên bản bàn giao trả phòng.</w:t>
      </w:r>
    </w:p>
    <w:p>
      <w:pPr>
        <w:spacing w:after="60"/>
      </w:pPr>
      <w:r>
        <w:rPr>
          <w:rFonts w:ascii="Calibri" w:hAnsi="Calibri"/>
          <w:b w:val="0"/>
          <w:color w:val="172033"/>
          <w:sz w:val="20"/>
        </w:rPr>
        <w:t>9.3. Hai bên đối chiếu công nợ và xử lý tiền cọc sau khi có đủ thông tin về các khoản phải thanh toán, hiện trạng và tài sản. Thời hạn, cách thức hoàn/trừ cọc: .............................................................................................................. .</w:t>
      </w:r>
    </w:p>
    <w:p>
      <w:pPr>
        <w:spacing w:before="160" w:after="60"/>
      </w:pPr>
      <w:r>
        <w:rPr>
          <w:rFonts w:ascii="Calibri" w:hAnsi="Calibri"/>
          <w:b/>
          <w:color w:val="008B72"/>
          <w:sz w:val="24"/>
        </w:rPr>
        <w:t>ĐIỀU 10. Giải quyết vướng mắc</w:t>
      </w:r>
    </w:p>
    <w:p>
      <w:pPr>
        <w:spacing w:after="60"/>
      </w:pPr>
      <w:r>
        <w:rPr>
          <w:rFonts w:ascii="Calibri" w:hAnsi="Calibri"/>
          <w:b w:val="0"/>
          <w:color w:val="172033"/>
          <w:sz w:val="20"/>
        </w:rPr>
        <w:t>10.1. Khi có vướng mắc, hai bên ưu tiên trao đổi trên tinh thần thiện chí, ghi rõ số liệu, thời điểm và nội dung cần xử lý.</w:t>
      </w:r>
    </w:p>
    <w:p>
      <w:pPr>
        <w:spacing w:after="60"/>
      </w:pPr>
      <w:r>
        <w:rPr>
          <w:rFonts w:ascii="Calibri" w:hAnsi="Calibri"/>
          <w:b w:val="0"/>
          <w:color w:val="172033"/>
          <w:sz w:val="20"/>
        </w:rPr>
        <w:t>10.2. Nếu không tự giải quyết được, các bên thực hiện theo quy định pháp luật áp dụng và cơ quan có thẩm quyền.</w:t>
      </w:r>
    </w:p>
    <w:p>
      <w:pPr>
        <w:spacing w:before="160" w:after="60"/>
      </w:pPr>
      <w:r>
        <w:rPr>
          <w:rFonts w:ascii="Calibri" w:hAnsi="Calibri"/>
          <w:b/>
          <w:color w:val="008B72"/>
          <w:sz w:val="24"/>
        </w:rPr>
        <w:t>ĐIỀU 11. Hiệu lực hợp đồng</w:t>
      </w:r>
    </w:p>
    <w:p>
      <w:pPr>
        <w:spacing w:after="60"/>
      </w:pPr>
      <w:r>
        <w:rPr>
          <w:rFonts w:ascii="Calibri" w:hAnsi="Calibri"/>
          <w:b w:val="0"/>
          <w:color w:val="172033"/>
          <w:sz w:val="20"/>
        </w:rPr>
        <w:t>11.1. Hợp đồng có hiệu lực từ ngày ký hoặc từ ngày .............................................................................................................. .</w:t>
      </w:r>
    </w:p>
    <w:p>
      <w:pPr>
        <w:spacing w:after="60"/>
      </w:pPr>
      <w:r>
        <w:rPr>
          <w:rFonts w:ascii="Calibri" w:hAnsi="Calibri"/>
          <w:b w:val="0"/>
          <w:color w:val="172033"/>
          <w:sz w:val="20"/>
        </w:rPr>
        <w:t>11.2. Hợp đồng gồm ........ trang, được lập thành ........ bản có giá trị như nhau; mỗi bên giữ ........ bản. Biên bản bàn giao, phụ lục (nếu có) là phần kèm theo hợp đồng.</w:t>
      </w:r>
    </w:p>
    <w:p>
      <w:pPr>
        <w:spacing w:after="60"/>
      </w:pPr>
      <w:r>
        <w:rPr>
          <w:rFonts w:ascii="Calibri" w:hAnsi="Calibri"/>
          <w:b w:val="0"/>
          <w:color w:val="172033"/>
          <w:sz w:val="20"/>
        </w:rPr>
        <w:t>11.3. Hai bên xác nhận đã đọc, hiểu và tự nguyện ký.</w:t>
      </w:r>
    </w:p>
    <w:tbl>
      <w:tblPr>
        <w:tblW w:type="dxa" w:w="9360"/>
        <w:jc w:val="left"/>
        <w:tblLayout w:type="fixed"/>
        <w:tblLook w:firstColumn="1" w:firstRow="1" w:lastColumn="0" w:lastRow="0" w:noHBand="0" w:noVBand="1" w:val="04A0"/>
        <w:tblInd w:type="dxa" w:w="120"/>
      </w:tblPr>
      <w:tblGrid>
        <w:gridCol w:w="4608"/>
        <w:gridCol w:w="4752"/>
      </w:tblGrid>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color w:val="172033"/>
                <w:sz w:val="21"/>
              </w:rPr>
              <w:t>BÊN CHO THUÊ (Bên A)</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color w:val="172033"/>
                <w:sz w:val="21"/>
              </w:rPr>
              <w:t>BÊN THUÊ (Bên B)</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val="0"/>
                <w:color w:val="586174"/>
                <w:sz w:val="19"/>
              </w:rPr>
              <w:t>(Ký, ghi rõ họ tên)</w:t>
              <w:br/>
              <w:br/>
              <w:br/>
              <w:br/>
              <w:br/>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val="0"/>
                <w:color w:val="586174"/>
                <w:sz w:val="19"/>
              </w:rPr>
              <w:t>(Ký, ghi rõ họ tên)</w:t>
              <w:br/>
              <w:br/>
              <w:br/>
              <w:br/>
              <w:br/>
            </w:r>
          </w:p>
        </w:tc>
      </w:tr>
    </w:tbl>
    <w:sectPr w:rsidR="00FC693F" w:rsidRPr="0006063C" w:rsidSect="00034616">
      <w:footerReference w:type="default" r:id="rId9"/>
      <w:head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86174"/>
        <w:sz w:val="17"/>
      </w:rPr>
      <w:t>Mẫu tham khảo miễn phí • quanlynhatro.vip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008B72"/>
        <w:sz w:val="18"/>
      </w:rPr>
      <w:t>quanlynhatro.vip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720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